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EB" w:rsidRPr="00E20BEB" w:rsidRDefault="00E20BEB" w:rsidP="00E20BEB">
      <w:pPr>
        <w:spacing w:after="0" w:line="240" w:lineRule="auto"/>
        <w:contextualSpacing w:val="0"/>
        <w:jc w:val="center"/>
        <w:rPr>
          <w:b/>
          <w:color w:val="984806"/>
          <w:sz w:val="28"/>
          <w:szCs w:val="28"/>
        </w:rPr>
      </w:pPr>
      <w:r w:rsidRPr="00E20BEB">
        <w:rPr>
          <w:b/>
          <w:color w:val="984806"/>
          <w:sz w:val="28"/>
          <w:szCs w:val="28"/>
        </w:rPr>
        <w:t xml:space="preserve">CONFERENZA </w:t>
      </w:r>
      <w:proofErr w:type="spellStart"/>
      <w:r w:rsidRPr="00E20BEB">
        <w:rPr>
          <w:b/>
          <w:color w:val="984806"/>
          <w:sz w:val="28"/>
          <w:szCs w:val="28"/>
        </w:rPr>
        <w:t>DI</w:t>
      </w:r>
      <w:proofErr w:type="spellEnd"/>
      <w:r w:rsidRPr="00E20BEB">
        <w:rPr>
          <w:b/>
          <w:color w:val="984806"/>
          <w:sz w:val="28"/>
          <w:szCs w:val="28"/>
        </w:rPr>
        <w:t xml:space="preserve"> CONCERTAZIONE del 8/04/2018</w:t>
      </w:r>
    </w:p>
    <w:p w:rsidR="00E20BEB" w:rsidRPr="00E20BEB" w:rsidRDefault="00E20BEB" w:rsidP="00E20BEB">
      <w:pPr>
        <w:spacing w:after="0" w:line="240" w:lineRule="auto"/>
        <w:contextualSpacing w:val="0"/>
        <w:jc w:val="center"/>
        <w:rPr>
          <w:b/>
          <w:color w:val="000000"/>
          <w:sz w:val="28"/>
          <w:szCs w:val="28"/>
        </w:rPr>
      </w:pPr>
      <w:r w:rsidRPr="00E20BEB">
        <w:rPr>
          <w:b/>
          <w:color w:val="000000"/>
          <w:sz w:val="28"/>
          <w:szCs w:val="28"/>
        </w:rPr>
        <w:t>PROGRAMMA ATTUATIVO ANNUALE 2018</w:t>
      </w:r>
    </w:p>
    <w:p w:rsidR="00E20BEB" w:rsidRPr="007865E9" w:rsidRDefault="00E20BEB" w:rsidP="00E20BEB">
      <w:pPr>
        <w:spacing w:after="0" w:line="240" w:lineRule="auto"/>
        <w:contextualSpacing w:val="0"/>
        <w:jc w:val="center"/>
        <w:rPr>
          <w:color w:val="000000"/>
          <w:sz w:val="44"/>
          <w:szCs w:val="44"/>
        </w:rPr>
      </w:pPr>
      <w:r w:rsidRPr="007865E9">
        <w:rPr>
          <w:color w:val="000000"/>
          <w:sz w:val="44"/>
          <w:szCs w:val="44"/>
        </w:rPr>
        <w:t>Scheda di Osservazioni alle attività in corso e all</w:t>
      </w:r>
      <w:r w:rsidR="007865E9">
        <w:rPr>
          <w:color w:val="000000"/>
          <w:sz w:val="44"/>
          <w:szCs w:val="44"/>
        </w:rPr>
        <w:t>e</w:t>
      </w:r>
      <w:r w:rsidRPr="007865E9">
        <w:rPr>
          <w:color w:val="000000"/>
          <w:sz w:val="44"/>
          <w:szCs w:val="44"/>
        </w:rPr>
        <w:t xml:space="preserve"> azioni proposte</w:t>
      </w:r>
    </w:p>
    <w:p w:rsidR="00DE40E6" w:rsidRPr="007865E9" w:rsidRDefault="00DE40E6">
      <w:pPr>
        <w:rPr>
          <w:sz w:val="44"/>
          <w:szCs w:val="44"/>
        </w:rPr>
      </w:pPr>
    </w:p>
    <w:tbl>
      <w:tblPr>
        <w:tblpPr w:leftFromText="141" w:rightFromText="141" w:vertAnchor="page" w:horzAnchor="margin" w:tblpY="2981"/>
        <w:tblW w:w="154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1094"/>
        <w:gridCol w:w="4684"/>
        <w:gridCol w:w="9639"/>
      </w:tblGrid>
      <w:tr w:rsidR="007865E9" w:rsidRPr="00DB19F6" w:rsidTr="007865E9">
        <w:trPr>
          <w:cantSplit/>
          <w:trHeight w:val="680"/>
        </w:trPr>
        <w:tc>
          <w:tcPr>
            <w:tcW w:w="5778" w:type="dxa"/>
            <w:gridSpan w:val="2"/>
            <w:shd w:val="clear" w:color="auto" w:fill="EEECE1" w:themeFill="background2"/>
            <w:vAlign w:val="center"/>
          </w:tcPr>
          <w:p w:rsidR="007865E9" w:rsidRPr="007865E9" w:rsidRDefault="007865E9" w:rsidP="00105E9A">
            <w:pPr>
              <w:snapToGri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7865E9">
              <w:rPr>
                <w:rFonts w:cs="Arial"/>
                <w:b/>
                <w:szCs w:val="24"/>
              </w:rPr>
              <w:t>RAGIONE SOCIALE</w:t>
            </w:r>
          </w:p>
        </w:tc>
        <w:tc>
          <w:tcPr>
            <w:tcW w:w="9639" w:type="dxa"/>
            <w:shd w:val="clear" w:color="auto" w:fill="EEECE1" w:themeFill="background2"/>
            <w:vAlign w:val="center"/>
          </w:tcPr>
          <w:p w:rsidR="007865E9" w:rsidRPr="007865E9" w:rsidRDefault="007865E9" w:rsidP="00105E9A">
            <w:pPr>
              <w:snapToGrid w:val="0"/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7865E9" w:rsidRPr="00DB19F6" w:rsidTr="007865E9">
        <w:trPr>
          <w:cantSplit/>
          <w:trHeight w:val="680"/>
        </w:trPr>
        <w:tc>
          <w:tcPr>
            <w:tcW w:w="5778" w:type="dxa"/>
            <w:gridSpan w:val="2"/>
            <w:shd w:val="clear" w:color="auto" w:fill="EEECE1" w:themeFill="background2"/>
            <w:vAlign w:val="center"/>
          </w:tcPr>
          <w:p w:rsidR="007865E9" w:rsidRPr="007865E9" w:rsidRDefault="007865E9" w:rsidP="00105E9A">
            <w:pPr>
              <w:snapToGri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7865E9">
              <w:rPr>
                <w:rFonts w:cs="Arial"/>
                <w:b/>
                <w:szCs w:val="24"/>
              </w:rPr>
              <w:t>Nominativo del Legale rappresentante o del Delegato che sottoscriverà il Documento di Concertazione</w:t>
            </w:r>
          </w:p>
        </w:tc>
        <w:tc>
          <w:tcPr>
            <w:tcW w:w="9639" w:type="dxa"/>
            <w:shd w:val="clear" w:color="auto" w:fill="EEECE1" w:themeFill="background2"/>
            <w:vAlign w:val="center"/>
          </w:tcPr>
          <w:p w:rsidR="007865E9" w:rsidRPr="007865E9" w:rsidRDefault="007865E9" w:rsidP="00105E9A">
            <w:pPr>
              <w:snapToGrid w:val="0"/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7865E9" w:rsidRPr="00DB19F6" w:rsidTr="007865E9">
        <w:trPr>
          <w:cantSplit/>
          <w:trHeight w:val="1134"/>
        </w:trPr>
        <w:tc>
          <w:tcPr>
            <w:tcW w:w="15417" w:type="dxa"/>
            <w:gridSpan w:val="3"/>
            <w:shd w:val="clear" w:color="auto" w:fill="EEECE1" w:themeFill="background2"/>
            <w:vAlign w:val="center"/>
          </w:tcPr>
          <w:p w:rsidR="007865E9" w:rsidRPr="007865E9" w:rsidRDefault="007865E9" w:rsidP="007865E9">
            <w:pPr>
              <w:snapToGrid w:val="0"/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Nel </w:t>
            </w:r>
            <w:r w:rsidRPr="007865E9">
              <w:rPr>
                <w:rFonts w:cs="Arial"/>
                <w:b/>
                <w:szCs w:val="24"/>
              </w:rPr>
              <w:t>Documento di Concertazione</w:t>
            </w:r>
            <w:r>
              <w:rPr>
                <w:rFonts w:cs="Arial"/>
                <w:szCs w:val="24"/>
              </w:rPr>
              <w:t xml:space="preserve"> le osservazioni pervenute saranno raggruppate il calce alle schede del PAA e riporteranno l’indicazione dei soggetti che le hanno formulate</w:t>
            </w:r>
          </w:p>
        </w:tc>
      </w:tr>
      <w:tr w:rsidR="00B4200C" w:rsidRPr="00DB19F6" w:rsidTr="00FA3DF0">
        <w:trPr>
          <w:cantSplit/>
          <w:trHeight w:val="567"/>
        </w:trPr>
        <w:tc>
          <w:tcPr>
            <w:tcW w:w="15417" w:type="dxa"/>
            <w:gridSpan w:val="3"/>
            <w:shd w:val="clear" w:color="auto" w:fill="auto"/>
            <w:vAlign w:val="center"/>
          </w:tcPr>
          <w:p w:rsidR="00B4200C" w:rsidRPr="00B4200C" w:rsidRDefault="00B4200C" w:rsidP="00B4200C">
            <w:pPr>
              <w:snapToGrid w:val="0"/>
              <w:spacing w:after="0" w:line="240" w:lineRule="auto"/>
              <w:jc w:val="right"/>
              <w:rPr>
                <w:rFonts w:cs="Arial"/>
                <w:sz w:val="36"/>
                <w:szCs w:val="36"/>
              </w:rPr>
            </w:pPr>
            <w:r w:rsidRPr="00B4200C">
              <w:rPr>
                <w:rFonts w:cs="Arial"/>
                <w:sz w:val="36"/>
                <w:szCs w:val="36"/>
              </w:rPr>
              <w:sym w:font="Wingdings 2" w:char="F0A3"/>
            </w:r>
            <w:r w:rsidRPr="00B4200C">
              <w:rPr>
                <w:rFonts w:cs="Arial"/>
                <w:sz w:val="36"/>
                <w:szCs w:val="36"/>
              </w:rPr>
              <w:t xml:space="preserve"> Nessuna osservazione da formulare</w:t>
            </w:r>
          </w:p>
        </w:tc>
      </w:tr>
      <w:tr w:rsidR="008B069D" w:rsidRPr="00DB19F6" w:rsidTr="008B069D">
        <w:trPr>
          <w:cantSplit/>
          <w:trHeight w:val="567"/>
        </w:trPr>
        <w:tc>
          <w:tcPr>
            <w:tcW w:w="1094" w:type="dxa"/>
            <w:shd w:val="clear" w:color="auto" w:fill="auto"/>
            <w:vAlign w:val="center"/>
          </w:tcPr>
          <w:p w:rsidR="008B069D" w:rsidRPr="007B3C2B" w:rsidRDefault="007B3C2B" w:rsidP="00105E9A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B3C2B">
              <w:rPr>
                <w:rFonts w:cs="Arial"/>
                <w:b/>
                <w:sz w:val="20"/>
                <w:szCs w:val="20"/>
              </w:rPr>
              <w:t>N. scheda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8B069D" w:rsidRPr="007B3C2B" w:rsidRDefault="007B3C2B" w:rsidP="00105E9A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B3C2B">
              <w:rPr>
                <w:rFonts w:cs="Arial"/>
                <w:b/>
                <w:sz w:val="20"/>
                <w:szCs w:val="20"/>
              </w:rPr>
              <w:t>Macro azione</w:t>
            </w:r>
          </w:p>
        </w:tc>
        <w:tc>
          <w:tcPr>
            <w:tcW w:w="9639" w:type="dxa"/>
            <w:vAlign w:val="center"/>
          </w:tcPr>
          <w:p w:rsidR="008B069D" w:rsidRPr="007B3C2B" w:rsidRDefault="007B3C2B" w:rsidP="00105E9A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B3C2B">
              <w:rPr>
                <w:rFonts w:cs="Arial"/>
                <w:b/>
                <w:sz w:val="20"/>
                <w:szCs w:val="20"/>
              </w:rPr>
              <w:t>Osservazioni</w:t>
            </w:r>
          </w:p>
        </w:tc>
      </w:tr>
      <w:tr w:rsidR="00DE40E6" w:rsidRPr="00DB19F6" w:rsidTr="004A17D6">
        <w:trPr>
          <w:cantSplit/>
          <w:trHeight w:val="1701"/>
        </w:trPr>
        <w:tc>
          <w:tcPr>
            <w:tcW w:w="109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</w:pPr>
            <w:r w:rsidRPr="00DB19F6">
              <w:rPr>
                <w:rFonts w:cs="Arial"/>
                <w:sz w:val="20"/>
                <w:szCs w:val="20"/>
              </w:rPr>
              <w:t>1.1.1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</w:pPr>
            <w:r w:rsidRPr="00DB19F6">
              <w:rPr>
                <w:rFonts w:cs="Arial"/>
                <w:sz w:val="20"/>
                <w:szCs w:val="20"/>
              </w:rPr>
              <w:t xml:space="preserve">Istituire i tavoli di </w:t>
            </w:r>
            <w:proofErr w:type="spellStart"/>
            <w:r w:rsidRPr="00DB19F6">
              <w:rPr>
                <w:rFonts w:cs="Arial"/>
                <w:sz w:val="20"/>
                <w:szCs w:val="20"/>
              </w:rPr>
              <w:t>governance</w:t>
            </w:r>
            <w:proofErr w:type="spellEnd"/>
            <w:r w:rsidRPr="00DB19F6">
              <w:rPr>
                <w:rFonts w:cs="Arial"/>
                <w:sz w:val="20"/>
                <w:szCs w:val="20"/>
              </w:rPr>
              <w:t xml:space="preserve"> quali luoghi di coordinamento permanente dei soggetti pubblici e privati coinvolti nel PDZ, nonché di promozione e monitoraggio nella realizzazione dei servizi e degli interventi. Individuazione delle forme di regolazione della gestione partecipata.</w:t>
            </w:r>
          </w:p>
        </w:tc>
        <w:tc>
          <w:tcPr>
            <w:tcW w:w="9639" w:type="dxa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E40E6" w:rsidRPr="00DB19F6" w:rsidTr="004A17D6">
        <w:trPr>
          <w:cantSplit/>
          <w:trHeight w:val="1701"/>
        </w:trPr>
        <w:tc>
          <w:tcPr>
            <w:tcW w:w="109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1.1.2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 xml:space="preserve">Implementare un sistema informativo finalizzato ad </w:t>
            </w:r>
            <w:proofErr w:type="spellStart"/>
            <w:r w:rsidRPr="00DB19F6">
              <w:rPr>
                <w:rFonts w:cs="Arial"/>
                <w:sz w:val="20"/>
                <w:szCs w:val="20"/>
              </w:rPr>
              <w:t>efficentare</w:t>
            </w:r>
            <w:proofErr w:type="spellEnd"/>
            <w:r w:rsidRPr="00DB19F6">
              <w:rPr>
                <w:rFonts w:cs="Arial"/>
                <w:sz w:val="20"/>
                <w:szCs w:val="20"/>
              </w:rPr>
              <w:t xml:space="preserve"> la gestione del SSC. </w:t>
            </w:r>
          </w:p>
        </w:tc>
        <w:tc>
          <w:tcPr>
            <w:tcW w:w="9639" w:type="dxa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E40E6" w:rsidRPr="00DB19F6" w:rsidTr="004A17D6">
        <w:trPr>
          <w:cantSplit/>
          <w:trHeight w:val="1701"/>
        </w:trPr>
        <w:tc>
          <w:tcPr>
            <w:tcW w:w="109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1.2.1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 xml:space="preserve">Promozione di collaborazioni con i soggetti non istituzionali beneficiari di finanziamenti pubblici al fine di gestire in maniera coordinata e sinergica i servizi e gli interventi, nonché le risorse pubbliche ad essi destinate.  </w:t>
            </w:r>
          </w:p>
        </w:tc>
        <w:tc>
          <w:tcPr>
            <w:tcW w:w="9639" w:type="dxa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E40E6" w:rsidRPr="00DB19F6" w:rsidTr="004A17D6">
        <w:trPr>
          <w:cantSplit/>
          <w:trHeight w:val="1701"/>
        </w:trPr>
        <w:tc>
          <w:tcPr>
            <w:tcW w:w="109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Consolidamento del governo Associato dei servizi sociali attraverso il licenziamento:</w:t>
            </w:r>
          </w:p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- del Regolamento dell’SSC, sostitutivo della Convenzione di Ambito;</w:t>
            </w:r>
          </w:p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 xml:space="preserve">- del regolamento unico per l’accesso e la compartecipazione degli utenti al costo dei servizi </w:t>
            </w:r>
          </w:p>
        </w:tc>
        <w:tc>
          <w:tcPr>
            <w:tcW w:w="9639" w:type="dxa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E40E6" w:rsidRPr="00DB19F6" w:rsidTr="004A17D6">
        <w:trPr>
          <w:cantSplit/>
          <w:trHeight w:val="1701"/>
        </w:trPr>
        <w:tc>
          <w:tcPr>
            <w:tcW w:w="109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N. 5.2.1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Sviluppo di un progetto di sensibilizzazione, reperimento, supporto e accompagnamento delle famiglie affidatarie sul territorio locale</w:t>
            </w:r>
          </w:p>
        </w:tc>
        <w:tc>
          <w:tcPr>
            <w:tcW w:w="9639" w:type="dxa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DE40E6" w:rsidRPr="00DB19F6" w:rsidTr="004A17D6">
        <w:trPr>
          <w:cantSplit/>
          <w:trHeight w:val="1701"/>
        </w:trPr>
        <w:tc>
          <w:tcPr>
            <w:tcW w:w="109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N. 5.2.2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Definire le comunità di accoglienza secondo tipologie diversificate</w:t>
            </w:r>
          </w:p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Garantire il proseguo della presa in carico del nucleo secondo una linea di continuità prima dell’inserimento, durante e dopo la dimissione del minore in comunità e/ in situazione di affido</w:t>
            </w:r>
          </w:p>
        </w:tc>
        <w:tc>
          <w:tcPr>
            <w:tcW w:w="9639" w:type="dxa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DE40E6" w:rsidRPr="00DB19F6" w:rsidTr="004A17D6">
        <w:trPr>
          <w:cantSplit/>
          <w:trHeight w:val="1701"/>
        </w:trPr>
        <w:tc>
          <w:tcPr>
            <w:tcW w:w="109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N. 10.1.1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Collegare gli interventi sociali e sociosanitari programmati nei PDZ con specifiche azioni inerenti le politiche familiari.</w:t>
            </w:r>
          </w:p>
        </w:tc>
        <w:tc>
          <w:tcPr>
            <w:tcW w:w="9639" w:type="dxa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DE40E6" w:rsidRPr="00DB19F6" w:rsidTr="004A17D6">
        <w:trPr>
          <w:cantSplit/>
          <w:trHeight w:val="1701"/>
        </w:trPr>
        <w:tc>
          <w:tcPr>
            <w:tcW w:w="109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N. 10.1.2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Rinforzo delle competenze relazionale ed educative delle famiglie e degli adulti significativi, nonché lavoro in rete con le istituzioni scolastiche, l’Associazionismo e le agenzie educative territoriali, per favorire la promozione dell’agio (prevenzione primaria) e l’intercettazione precoce del disagio dei bambini e dei giovani.</w:t>
            </w:r>
          </w:p>
        </w:tc>
        <w:tc>
          <w:tcPr>
            <w:tcW w:w="9639" w:type="dxa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DE40E6" w:rsidRPr="00DB19F6" w:rsidTr="004A17D6">
        <w:trPr>
          <w:cantSplit/>
          <w:trHeight w:val="1701"/>
        </w:trPr>
        <w:tc>
          <w:tcPr>
            <w:tcW w:w="109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N. 6.1.1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Estensione dell’organizzazione modulare al centro diurno di Via Canaletto al fine di favorire la continuità educativa con scuola e territorio (anche nei fine settimana).</w:t>
            </w:r>
          </w:p>
        </w:tc>
        <w:tc>
          <w:tcPr>
            <w:tcW w:w="9639" w:type="dxa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DE40E6" w:rsidRPr="00DB19F6" w:rsidTr="004A17D6">
        <w:trPr>
          <w:cantSplit/>
          <w:trHeight w:val="1701"/>
        </w:trPr>
        <w:tc>
          <w:tcPr>
            <w:tcW w:w="109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lastRenderedPageBreak/>
              <w:t>N. 6.1.2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Sperimentazione di processi di autonomia dei soggetti disabili e promozione di modelli alternativi ai centri diurni, sia in ambito scolastico che extra-scolastico e comunitario.</w:t>
            </w:r>
          </w:p>
        </w:tc>
        <w:tc>
          <w:tcPr>
            <w:tcW w:w="9639" w:type="dxa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DE40E6" w:rsidRPr="00DB19F6" w:rsidTr="004A17D6">
        <w:trPr>
          <w:cantSplit/>
          <w:trHeight w:val="1701"/>
        </w:trPr>
        <w:tc>
          <w:tcPr>
            <w:tcW w:w="109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N. 6.1.3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 xml:space="preserve">Sperimentazione del modello organizzativo a rete delle fattorie sociali, applicandone le </w:t>
            </w:r>
          </w:p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 xml:space="preserve">tecniche e le metodologie alle aree verdi urbane.   </w:t>
            </w:r>
          </w:p>
        </w:tc>
        <w:tc>
          <w:tcPr>
            <w:tcW w:w="9639" w:type="dxa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DE40E6" w:rsidRPr="00DB19F6" w:rsidTr="004A17D6">
        <w:trPr>
          <w:cantSplit/>
          <w:trHeight w:val="1701"/>
        </w:trPr>
        <w:tc>
          <w:tcPr>
            <w:tcW w:w="109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N. 6.1.4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Avvio di un processo di sperimentazione finalizzato alla diversificazione dei sistemi semiresidenziali e residenziali, attraverso soluzioni integrative e orientate ad offrire una risposta mirata alle persone disabili con prevalenza di bisogni Assistenziali legati all’età</w:t>
            </w:r>
          </w:p>
        </w:tc>
        <w:tc>
          <w:tcPr>
            <w:tcW w:w="9639" w:type="dxa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DE40E6" w:rsidRPr="00DB19F6" w:rsidTr="004A17D6">
        <w:trPr>
          <w:cantSplit/>
          <w:trHeight w:val="1701"/>
        </w:trPr>
        <w:tc>
          <w:tcPr>
            <w:tcW w:w="109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N. 6.2.1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Individuare e sviluppare sinergie e metodologie per l’integrazione delle competenze e delle opportunità territoriali per il sostegno socio-educativo delle persone con disabilità, e più specificamente per i minori e giovani</w:t>
            </w:r>
          </w:p>
        </w:tc>
        <w:tc>
          <w:tcPr>
            <w:tcW w:w="9639" w:type="dxa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DE40E6" w:rsidRPr="00DB19F6" w:rsidTr="004A17D6">
        <w:trPr>
          <w:cantSplit/>
          <w:trHeight w:val="1701"/>
        </w:trPr>
        <w:tc>
          <w:tcPr>
            <w:tcW w:w="109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N. 7.1.1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 xml:space="preserve">Sviluppo di opportunità inerenti la promozione di stili di vita sani. </w:t>
            </w:r>
          </w:p>
        </w:tc>
        <w:tc>
          <w:tcPr>
            <w:tcW w:w="9639" w:type="dxa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DE40E6" w:rsidRPr="00DB19F6" w:rsidTr="004A17D6">
        <w:trPr>
          <w:cantSplit/>
          <w:trHeight w:val="1701"/>
        </w:trPr>
        <w:tc>
          <w:tcPr>
            <w:tcW w:w="109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N. 7.2.1a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Analisi delle condizioni per una “</w:t>
            </w:r>
            <w:proofErr w:type="spellStart"/>
            <w:r w:rsidRPr="00DB19F6">
              <w:rPr>
                <w:rFonts w:cs="Arial"/>
                <w:sz w:val="20"/>
                <w:szCs w:val="20"/>
              </w:rPr>
              <w:t>domiciliarità</w:t>
            </w:r>
            <w:proofErr w:type="spellEnd"/>
            <w:r w:rsidRPr="00DB19F6">
              <w:rPr>
                <w:rFonts w:cs="Arial"/>
                <w:sz w:val="20"/>
                <w:szCs w:val="20"/>
              </w:rPr>
              <w:t xml:space="preserve"> possibile”; analisi dei sistemi di </w:t>
            </w:r>
            <w:proofErr w:type="spellStart"/>
            <w:r w:rsidRPr="00DB19F6">
              <w:rPr>
                <w:rFonts w:cs="Arial"/>
                <w:sz w:val="20"/>
                <w:szCs w:val="20"/>
              </w:rPr>
              <w:t>domiciliarità</w:t>
            </w:r>
            <w:proofErr w:type="spellEnd"/>
            <w:r w:rsidRPr="00DB19F6">
              <w:rPr>
                <w:rFonts w:cs="Arial"/>
                <w:sz w:val="20"/>
                <w:szCs w:val="20"/>
              </w:rPr>
              <w:t xml:space="preserve"> esistenti e sviluppo e </w:t>
            </w:r>
            <w:proofErr w:type="spellStart"/>
            <w:r w:rsidRPr="00DB19F6">
              <w:rPr>
                <w:rFonts w:cs="Arial"/>
                <w:sz w:val="20"/>
                <w:szCs w:val="20"/>
              </w:rPr>
              <w:t>ri-orientamento</w:t>
            </w:r>
            <w:proofErr w:type="spellEnd"/>
            <w:r w:rsidRPr="00DB19F6">
              <w:rPr>
                <w:rFonts w:cs="Arial"/>
                <w:sz w:val="20"/>
                <w:szCs w:val="20"/>
              </w:rPr>
              <w:t xml:space="preserve"> verso migliori forme di integrazione su tutte le aree di intervento integrate.</w:t>
            </w:r>
          </w:p>
        </w:tc>
        <w:tc>
          <w:tcPr>
            <w:tcW w:w="9639" w:type="dxa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DE40E6" w:rsidRPr="00DB19F6" w:rsidTr="004A17D6">
        <w:trPr>
          <w:cantSplit/>
          <w:trHeight w:val="1701"/>
        </w:trPr>
        <w:tc>
          <w:tcPr>
            <w:tcW w:w="109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lastRenderedPageBreak/>
              <w:t>N. 7.2.1b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 xml:space="preserve">Implementazione delle reti locali a supporto della </w:t>
            </w:r>
            <w:proofErr w:type="spellStart"/>
            <w:r w:rsidRPr="00DB19F6">
              <w:rPr>
                <w:rFonts w:cs="Arial"/>
                <w:sz w:val="20"/>
                <w:szCs w:val="20"/>
              </w:rPr>
              <w:t>domiciliarità</w:t>
            </w:r>
            <w:proofErr w:type="spellEnd"/>
          </w:p>
        </w:tc>
        <w:tc>
          <w:tcPr>
            <w:tcW w:w="9639" w:type="dxa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DE40E6" w:rsidRPr="00DB19F6" w:rsidTr="004A17D6">
        <w:trPr>
          <w:cantSplit/>
          <w:trHeight w:val="1701"/>
        </w:trPr>
        <w:tc>
          <w:tcPr>
            <w:tcW w:w="109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N. 9.1.1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 xml:space="preserve">Promuovere misure di contrasto alla povertà che accanto agli interventi di integrazioni economiche prevedano l’utilizzo di strumenti di re-inserimento </w:t>
            </w:r>
            <w:proofErr w:type="spellStart"/>
            <w:r w:rsidRPr="00DB19F6">
              <w:rPr>
                <w:rFonts w:cs="Arial"/>
                <w:sz w:val="20"/>
                <w:szCs w:val="20"/>
              </w:rPr>
              <w:t>lavorativo-sociale</w:t>
            </w:r>
            <w:proofErr w:type="spellEnd"/>
            <w:r w:rsidRPr="00DB19F6">
              <w:rPr>
                <w:rFonts w:cs="Arial"/>
                <w:sz w:val="20"/>
                <w:szCs w:val="20"/>
              </w:rPr>
              <w:t xml:space="preserve"> secondo una logica di attivazione che miri all’autonomia della persona.</w:t>
            </w:r>
          </w:p>
        </w:tc>
        <w:tc>
          <w:tcPr>
            <w:tcW w:w="9639" w:type="dxa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DE40E6" w:rsidRPr="00DB19F6" w:rsidTr="004A17D6">
        <w:trPr>
          <w:cantSplit/>
          <w:trHeight w:val="1701"/>
        </w:trPr>
        <w:tc>
          <w:tcPr>
            <w:tcW w:w="109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br w:type="page"/>
              <w:t xml:space="preserve"> </w:t>
            </w:r>
          </w:p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N. 9.1.2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Offerta di un sistema razionalizzato di prestazioni ed interventi a sostegno della fragilità economica</w:t>
            </w:r>
          </w:p>
        </w:tc>
        <w:tc>
          <w:tcPr>
            <w:tcW w:w="9639" w:type="dxa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DE40E6" w:rsidRPr="00DB19F6" w:rsidTr="004A17D6">
        <w:trPr>
          <w:cantSplit/>
          <w:trHeight w:val="1701"/>
        </w:trPr>
        <w:tc>
          <w:tcPr>
            <w:tcW w:w="109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DE40E6" w:rsidRPr="00DB19F6" w:rsidRDefault="00DE40E6" w:rsidP="00105E9A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N. 9.1.3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  <w:r w:rsidRPr="00DB19F6">
              <w:rPr>
                <w:rFonts w:cs="Arial"/>
                <w:sz w:val="20"/>
                <w:szCs w:val="20"/>
              </w:rPr>
              <w:t>Home Community - Costruire abitare sociale integrato</w:t>
            </w:r>
          </w:p>
        </w:tc>
        <w:tc>
          <w:tcPr>
            <w:tcW w:w="9639" w:type="dxa"/>
            <w:vAlign w:val="center"/>
          </w:tcPr>
          <w:p w:rsidR="00DE40E6" w:rsidRPr="00DB19F6" w:rsidRDefault="00DE40E6" w:rsidP="00105E9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</w:tbl>
    <w:p w:rsidR="00DE40E6" w:rsidRDefault="00DE40E6"/>
    <w:p w:rsidR="00DE40E6" w:rsidRDefault="00DE40E6"/>
    <w:p w:rsidR="00DE40E6" w:rsidRDefault="00DE40E6"/>
    <w:p w:rsidR="00DE40E6" w:rsidRDefault="00DE40E6"/>
    <w:sectPr w:rsidR="00DE40E6" w:rsidSect="004A17D6"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DE40E6"/>
    <w:rsid w:val="00081908"/>
    <w:rsid w:val="00180D7E"/>
    <w:rsid w:val="004A17D6"/>
    <w:rsid w:val="007865E9"/>
    <w:rsid w:val="007B3C2B"/>
    <w:rsid w:val="008B069D"/>
    <w:rsid w:val="00B4200C"/>
    <w:rsid w:val="00CC2A00"/>
    <w:rsid w:val="00DE40E6"/>
    <w:rsid w:val="00E2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80" w:after="280"/>
        <w:ind w:left="284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0E6"/>
    <w:pPr>
      <w:spacing w:before="0" w:after="120" w:line="276" w:lineRule="auto"/>
      <w:ind w:left="0" w:right="0"/>
      <w:contextualSpacing/>
      <w:jc w:val="both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620</Words>
  <Characters>3537</Characters>
  <Application>Microsoft Office Word</Application>
  <DocSecurity>0</DocSecurity>
  <Lines>29</Lines>
  <Paragraphs>8</Paragraphs>
  <ScaleCrop>false</ScaleCrop>
  <Company>Comune di Pordenone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villarecci.p</dc:creator>
  <cp:lastModifiedBy>villarecci.p</cp:lastModifiedBy>
  <cp:revision>14</cp:revision>
  <dcterms:created xsi:type="dcterms:W3CDTF">2018-04-11T12:12:00Z</dcterms:created>
  <dcterms:modified xsi:type="dcterms:W3CDTF">2018-04-12T08:16:00Z</dcterms:modified>
</cp:coreProperties>
</file>